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-292783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24125" cy="10533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April 15th, 2018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24125" cy="10533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05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Government Affairs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Janice, Macon, Anna are content matter experts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Law PDF Renegotiation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David Gorenz met with all deans and renegotiated for 5 years of PDF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Transition to Sarah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Transitioning after this week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Senate Steering Committee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ad hoc committee for university student absences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Protects Students for absences (right now up to faculty)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IPC, 1 CGS, 2 USG members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Casino Night Success!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100 people showed up, 7500 budget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Halloween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ab/>
        <w:t xml:space="preserve">Peter Yu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Committee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Updates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TJ Beavers with Parking Committee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Closures near 315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7th - 315 N bound ramp closed until August 5th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11th - 315 S entrance closes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5th - new opened 315 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Around Thanksgiving - 315 S will reopen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Cannon road will end Spring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Updates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$30,000 from deans, $15,000 from academic affairs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Applicants this year a little less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However, likely due to Spring Break being cut by the deadline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Checks available in the resource room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be mailed if graduating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Chief Justice will decide after our meeting to vote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on Funding Guidelines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 aside $500 for each school. then put into final pool by the end of a specific date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we make professional schools equal?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Inter-professional events may get 100%, but if not inter-professional then 75% or something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Recap from organizations that had events who would come back and talk to us about it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Skating Night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Overall Kristin did an amazing job!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Miscommunication with the vender… 40 minutes to get it out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 people came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not be the best place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Skate Zone 71 - inconvenient location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Ice Skating rink for next year?!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Volleyball Update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Canceled Volleyball yesterday :(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Reschedule for this summer!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Day and Soccer Tournament Success!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2018 Financial Report - Net +315.50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IPS Logo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Remove the dash? Or brand new logo?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Dates/Themes for IPS 2019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Opioid Epidemic: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Solution? / What are the Next Steps? / From Problem to Solution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People are familiar with it, but how do we actually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change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things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2nd, February 9th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Staying solution focused (provide naloxone training)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Dreamland book may give insight for how to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 Items Update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pens, pen lights, water bottles, lanyards, bottle openers, chargers, pop sock it, chip clips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$5,000 to spend!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Business?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IPC Inauguration, End of Year Program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